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Governmental Affairs Update</w:t>
      </w:r>
    </w:p>
    <w:p w:rsid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By Neil Malone, Governmental Affairs Director</w:t>
      </w:r>
    </w:p>
    <w:p w:rsidR="002912BC" w:rsidRP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912BC">
        <w:rPr>
          <w:rFonts w:ascii="Times New Roman" w:hAnsi="Times New Roman" w:cs="Times New Roman"/>
          <w:b/>
          <w:bCs/>
          <w:i/>
          <w:sz w:val="24"/>
          <w:szCs w:val="24"/>
        </w:rPr>
        <w:t>February 2013 REALTOR Review</w:t>
      </w:r>
    </w:p>
    <w:p w:rsid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CAAR Pursues Further Refinement of Code Enforcement</w:t>
      </w:r>
    </w:p>
    <w:p w:rsid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Representatives of the Governmental Affairs Committee for the Capital Area Association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REALTORS® (CAAR) are working with officials in Springfield to further clarify recent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changes to the city’s code enforcement procedures as they pertain to distressed properties.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you will recall, CAAR recently provided input on an ordinance aimed at cleaning up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properties that had multiple, long-term, unresolved code violations. While the overall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process was a great collaboration with city officials, it quickly became apparent that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additional clarification would be required for situations where ownership of these properties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changed due to a foreclosure or in situations where the property is inherited.</w:t>
      </w:r>
    </w:p>
    <w:p w:rsid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CAAR is suggesting a two-part solution: First, that the existing code violations be tiered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based on severity, and that the remediation and inspection provisions for each tier to be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appropriate to the severity of the violations. Secondly, since the goal is to return these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distressed properties to productive use, that some flexibility be shown during the time period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when the property is actively managed and marketed by a real estate professional.</w:t>
      </w:r>
    </w:p>
    <w:p w:rsid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3A42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CAAR is confident that by having REALTOR® members working in cooperation with local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officials we can reduce the number of problem properties in the city, while at the same time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promoting redevelopment by allowing the “as is” sale of these properties to responsible new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owners. </w:t>
      </w:r>
    </w:p>
    <w:p w:rsidR="002912BC" w:rsidRDefault="002912BC" w:rsidP="0029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12BC" w:rsidRDefault="002912BC" w:rsidP="002912BC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Postscript (08/06/2013):  Association leadership has met several times with administration officials to refine agreed upon language to be intro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duced in ordinance form in the near future. </w:t>
      </w:r>
    </w:p>
    <w:sectPr w:rsidR="0029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BC"/>
    <w:rsid w:val="002912BC"/>
    <w:rsid w:val="0044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Sale</dc:creator>
  <cp:lastModifiedBy>Dan Sale</cp:lastModifiedBy>
  <cp:revision>1</cp:revision>
  <dcterms:created xsi:type="dcterms:W3CDTF">2013-08-06T13:37:00Z</dcterms:created>
  <dcterms:modified xsi:type="dcterms:W3CDTF">2013-08-06T13:39:00Z</dcterms:modified>
</cp:coreProperties>
</file>